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COORDENADORIA DO CURSO DE</w:t>
                            </w: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 xml:space="preserve">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COORDENADORIA DO CURSO DE</w:t>
                      </w: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 xml:space="preserve"> 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9"/>
        <w:gridCol w:w="2098"/>
        <w:gridCol w:w="3055"/>
      </w:tblGrid>
      <w:tr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Medicina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Currículo: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highlight w:val="yellow"/>
          <w:lang w:val="pt-BR"/>
        </w:rPr>
      </w:pPr>
      <w:r>
        <w:rPr>
          <w:rFonts w:ascii="Arial" w:hAnsi="Arial" w:cs="Arial"/>
          <w:sz w:val="22"/>
          <w:szCs w:val="22"/>
        </w:rPr>
        <w:t xml:space="preserve">Divinópolis, ___ de ____________ de </w:t>
      </w:r>
      <w:r>
        <w:rPr>
          <w:rFonts w:hint="default" w:ascii="Arial" w:hAnsi="Arial" w:cs="Arial"/>
          <w:sz w:val="22"/>
          <w:szCs w:val="22"/>
          <w:highlight w:val="yellow"/>
          <w:lang w:val="pt-BR"/>
        </w:rPr>
        <w:t>XXXX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0CDF"/>
    <w:rsid w:val="00116783"/>
    <w:rsid w:val="00153BE0"/>
    <w:rsid w:val="00173B43"/>
    <w:rsid w:val="001924EC"/>
    <w:rsid w:val="002353BB"/>
    <w:rsid w:val="002435CB"/>
    <w:rsid w:val="002552C8"/>
    <w:rsid w:val="002D5F9B"/>
    <w:rsid w:val="002E7D25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65AFA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11AF629B"/>
    <w:rsid w:val="20B26498"/>
    <w:rsid w:val="26406F5A"/>
    <w:rsid w:val="4B4B1F04"/>
    <w:rsid w:val="51C03E00"/>
    <w:rsid w:val="722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418</Characters>
  <Lines>3</Lines>
  <Paragraphs>1</Paragraphs>
  <TotalTime>10</TotalTime>
  <ScaleCrop>false</ScaleCrop>
  <LinksUpToDate>false</LinksUpToDate>
  <CharactersWithSpaces>494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2022-05-18T18:05:00Z</dcterms:created>
  <dc:creator>PROEN-ADJ</dc:creator>
  <cp:lastModifiedBy>Recepção das Coordenadoria d</cp:lastModifiedBy>
  <cp:lastPrinted>2019-11-05T17:29:00Z</cp:lastPrinted>
  <dcterms:modified xsi:type="dcterms:W3CDTF">2023-06-22T20:05:09Z</dcterms:modified>
  <dc:title>Plano de Estudos - Prorrogacao de prazo de integralizacao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1351ABBBC3BC4CE4B54A8042C744920D</vt:lpwstr>
  </property>
</Properties>
</file>